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89" w:rsidRPr="00A73A8A" w:rsidRDefault="002C5F89" w:rsidP="002C5F89">
      <w:pPr>
        <w:spacing w:before="0" w:beforeAutospacing="0" w:after="0"/>
        <w:rPr>
          <w:rFonts w:ascii="Garamond" w:hAnsi="Garamond" w:cs="Times New Roman"/>
          <w:sz w:val="28"/>
          <w:szCs w:val="28"/>
        </w:rPr>
      </w:pPr>
      <w:r w:rsidRPr="00A73A8A">
        <w:rPr>
          <w:rFonts w:ascii="Garamond" w:hAnsi="Garamond" w:cs="Times New Roman"/>
          <w:sz w:val="28"/>
          <w:szCs w:val="28"/>
        </w:rPr>
        <w:t xml:space="preserve">Un nuovo </w:t>
      </w:r>
      <w:proofErr w:type="spellStart"/>
      <w:r w:rsidRPr="00A73A8A">
        <w:rPr>
          <w:rFonts w:ascii="Garamond" w:hAnsi="Garamond" w:cs="Times New Roman"/>
          <w:i/>
          <w:sz w:val="28"/>
          <w:szCs w:val="28"/>
        </w:rPr>
        <w:t>digital</w:t>
      </w:r>
      <w:proofErr w:type="spellEnd"/>
      <w:r w:rsidRPr="00A73A8A">
        <w:rPr>
          <w:rFonts w:ascii="Garamond" w:hAnsi="Garamond" w:cs="Times New Roman"/>
          <w:i/>
          <w:sz w:val="28"/>
          <w:szCs w:val="28"/>
        </w:rPr>
        <w:t xml:space="preserve"> divide</w:t>
      </w:r>
    </w:p>
    <w:p w:rsidR="002C5F89" w:rsidRPr="002E42D1" w:rsidRDefault="002C5F89" w:rsidP="002C5F89">
      <w:pPr>
        <w:spacing w:before="0" w:beforeAutospacing="0" w:after="0"/>
        <w:jc w:val="both"/>
        <w:rPr>
          <w:rFonts w:ascii="Garamond" w:hAnsi="Garamond" w:cs="Times New Roman"/>
          <w:sz w:val="24"/>
          <w:szCs w:val="24"/>
        </w:rPr>
      </w:pP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Il </w:t>
      </w:r>
      <w:proofErr w:type="spellStart"/>
      <w:r w:rsidRPr="002E42D1">
        <w:rPr>
          <w:rFonts w:ascii="Garamond" w:hAnsi="Garamond" w:cs="Times New Roman"/>
          <w:i/>
          <w:sz w:val="24"/>
          <w:szCs w:val="24"/>
        </w:rPr>
        <w:t>digital</w:t>
      </w:r>
      <w:proofErr w:type="spellEnd"/>
      <w:r w:rsidRPr="002E42D1">
        <w:rPr>
          <w:rFonts w:ascii="Garamond" w:hAnsi="Garamond" w:cs="Times New Roman"/>
          <w:i/>
          <w:sz w:val="24"/>
          <w:szCs w:val="24"/>
        </w:rPr>
        <w:t xml:space="preserve"> divide</w:t>
      </w:r>
      <w:r w:rsidRPr="002E42D1">
        <w:rPr>
          <w:rFonts w:ascii="Garamond" w:hAnsi="Garamond" w:cs="Times New Roman"/>
          <w:sz w:val="24"/>
          <w:szCs w:val="24"/>
        </w:rPr>
        <w:t xml:space="preserve">, inizialmente inteso come la divisione fra gruppi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 xml:space="preserve">di </w:t>
      </w:r>
      <w:proofErr w:type="gramEnd"/>
      <w:r w:rsidRPr="002E42D1">
        <w:rPr>
          <w:rFonts w:ascii="Garamond" w:hAnsi="Garamond" w:cs="Times New Roman"/>
          <w:sz w:val="24"/>
          <w:szCs w:val="24"/>
        </w:rPr>
        <w:t>individui legata alle diverse possibilità di accesso alle tecnologie digitali, sta assumendo oggi un ulteriore significato.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Il massiccio ed esteso avvento delle tecnologie nella società si ripercuote necessariamente sulla dimensione scolastica mediante diversi approcci; tuttavia e paradossalmente, a una sempre maggiore diffusione delle tecnologie corrisponde un progressivo e profondo distacco da esse. 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Una tecnologia espone, o meglio, si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espone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con un’interfaccia. Nel suo spazio si sviluppa l’interazione, fra soggetto, artefatto e scopo dell’azione, che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esplicita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il carattere strumentale dell’oggetto (</w:t>
      </w:r>
      <w:proofErr w:type="spellStart"/>
      <w:r w:rsidRPr="002E42D1">
        <w:rPr>
          <w:rFonts w:ascii="Garamond" w:hAnsi="Garamond" w:cs="Times New Roman"/>
          <w:sz w:val="24"/>
          <w:szCs w:val="24"/>
        </w:rPr>
        <w:t>Bonsiepe</w:t>
      </w:r>
      <w:proofErr w:type="spellEnd"/>
      <w:r w:rsidRPr="002E42D1">
        <w:rPr>
          <w:rFonts w:ascii="Garamond" w:hAnsi="Garamond" w:cs="Times New Roman"/>
          <w:sz w:val="24"/>
          <w:szCs w:val="24"/>
        </w:rPr>
        <w:t xml:space="preserve"> G., 1995). </w:t>
      </w:r>
      <w:r w:rsidR="000A69D8">
        <w:rPr>
          <w:rFonts w:ascii="Garamond" w:hAnsi="Garamond" w:cs="Times New Roman"/>
          <w:sz w:val="24"/>
          <w:szCs w:val="24"/>
        </w:rPr>
        <w:t>[…].</w:t>
      </w:r>
      <w:r w:rsidRPr="002E42D1">
        <w:rPr>
          <w:rFonts w:ascii="Garamond" w:hAnsi="Garamond" w:cs="Times New Roman"/>
          <w:sz w:val="24"/>
          <w:szCs w:val="24"/>
        </w:rPr>
        <w:t xml:space="preserve"> 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A fronte di una generale tendenza nell’identificazione tra tecnologia e interfaccia, quest’ultima intesa e percepita quale strumento di sviluppo di possibili e specifiche attività, sempre più la tecnologia si fa sottile: un esempio è il </w:t>
      </w:r>
      <w:proofErr w:type="spellStart"/>
      <w:r w:rsidRPr="002E6953">
        <w:rPr>
          <w:rFonts w:ascii="Garamond" w:hAnsi="Garamond" w:cs="Times New Roman"/>
          <w:sz w:val="24"/>
          <w:szCs w:val="24"/>
        </w:rPr>
        <w:t>tablet</w:t>
      </w:r>
      <w:proofErr w:type="spellEnd"/>
      <w:r w:rsidRPr="002E42D1">
        <w:rPr>
          <w:rFonts w:ascii="Garamond" w:hAnsi="Garamond" w:cs="Times New Roman"/>
          <w:sz w:val="24"/>
          <w:szCs w:val="24"/>
        </w:rPr>
        <w:t xml:space="preserve">, che sempre più tende ad assomigliare a fogli, suggerendo con le proprie dimensioni la stessa sottigliezza della pagina di giornale. L’essere sottile del </w:t>
      </w:r>
      <w:proofErr w:type="spellStart"/>
      <w:r w:rsidRPr="002E42D1">
        <w:rPr>
          <w:rFonts w:ascii="Garamond" w:hAnsi="Garamond" w:cs="Times New Roman"/>
          <w:sz w:val="24"/>
          <w:szCs w:val="24"/>
        </w:rPr>
        <w:t>tablet</w:t>
      </w:r>
      <w:proofErr w:type="spellEnd"/>
      <w:r w:rsidRPr="002E42D1">
        <w:rPr>
          <w:rFonts w:ascii="Garamond" w:hAnsi="Garamond" w:cs="Times New Roman"/>
          <w:sz w:val="24"/>
          <w:szCs w:val="24"/>
        </w:rPr>
        <w:t xml:space="preserve"> rappresenta una metafora della corrispondente sottigliezza della conoscenza e della competenza sull’uso delle tecnologie.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Infatti, accanto alla tendenza a impadronirsi delle funzionalità dell’interfaccia, si riscontra un interesse sempre minore circa le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modalità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di funzionamento di un qualsivoglia dispositivo.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Questa deriva, purtroppo, sta coinvolgendo anche l’ambito scolastico: l’emergere di un nuovo, più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significativo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e profondo </w:t>
      </w:r>
      <w:proofErr w:type="spellStart"/>
      <w:r w:rsidRPr="002E6953">
        <w:rPr>
          <w:rFonts w:ascii="Garamond" w:hAnsi="Garamond" w:cs="Times New Roman"/>
          <w:iCs/>
          <w:sz w:val="24"/>
          <w:szCs w:val="24"/>
        </w:rPr>
        <w:t>digital</w:t>
      </w:r>
      <w:proofErr w:type="spellEnd"/>
      <w:r w:rsidRPr="002E6953">
        <w:rPr>
          <w:rFonts w:ascii="Garamond" w:hAnsi="Garamond" w:cs="Times New Roman"/>
          <w:iCs/>
          <w:sz w:val="24"/>
          <w:szCs w:val="24"/>
        </w:rPr>
        <w:t xml:space="preserve"> divide</w:t>
      </w:r>
      <w:r w:rsidRPr="002E42D1">
        <w:rPr>
          <w:rFonts w:ascii="Garamond" w:hAnsi="Garamond" w:cs="Times New Roman"/>
          <w:sz w:val="24"/>
          <w:szCs w:val="24"/>
        </w:rPr>
        <w:t>, si può far risalire, oggi, non tanto alle diverse possibilità di accesso alle tecnologie quanto, piuttosto, a diversi livelli di qualità nell’utilizzo delle stesse, laddove, la scuola dovrebbe essere il luogo in cui è possibile raggiungere lo stesso spessore competenziale.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2E42D1">
        <w:rPr>
          <w:rFonts w:ascii="Garamond" w:hAnsi="Garamond" w:cs="Times New Roman"/>
          <w:sz w:val="24"/>
          <w:szCs w:val="24"/>
        </w:rPr>
        <w:t>Attualmente</w:t>
      </w:r>
      <w:proofErr w:type="gramEnd"/>
      <w:r w:rsidRPr="002E42D1">
        <w:rPr>
          <w:rFonts w:ascii="Garamond" w:hAnsi="Garamond" w:cs="Times New Roman"/>
          <w:sz w:val="24"/>
          <w:szCs w:val="24"/>
        </w:rPr>
        <w:t>, solo nella scuola superiore di secondo grado, alcuni istituti ad indirizzo tecnico sono in grado di fornire percorsi didattici finalizzati all’acquisizione di competenze tecnologiche specifiche nel settore informatico ed elettronico</w:t>
      </w:r>
      <w:r w:rsidRPr="002E42D1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Pr="002E42D1">
        <w:rPr>
          <w:rFonts w:ascii="Garamond" w:hAnsi="Garamond" w:cs="Times New Roman"/>
          <w:sz w:val="24"/>
          <w:szCs w:val="24"/>
        </w:rPr>
        <w:t>. Sarebbe invece auspicabile che la scuola tutta, in ogni ordine e grado e tenendo conto delle diverse proposte formative, contribuisca a formare, negli studenti, un background culturale che permetta loro di dialogare, in futuro, in modo consapevole ed efficace con le tecnologie</w:t>
      </w:r>
      <w:r w:rsidRPr="002E42D1">
        <w:rPr>
          <w:rStyle w:val="Rimandonotaapidipagina"/>
          <w:rFonts w:ascii="Garamond" w:hAnsi="Garamond"/>
          <w:sz w:val="24"/>
          <w:szCs w:val="24"/>
        </w:rPr>
        <w:footnoteReference w:id="2"/>
      </w:r>
      <w:r w:rsidRPr="002E42D1">
        <w:rPr>
          <w:rFonts w:ascii="Garamond" w:hAnsi="Garamond" w:cs="Times New Roman"/>
          <w:sz w:val="24"/>
          <w:szCs w:val="24"/>
        </w:rPr>
        <w:t xml:space="preserve">. Formare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ad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una consapevolezza tecnologica significherebbe poter contare anche e soprattutto sulla possibilità di incidere sulla diffusione dello sviluppo tecnologico e del suo orientamento secondo una modalità piuttosto che secondo un’altra.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Non si possono delegare queste decisioni solo agli esperti.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Oltre a ciò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, la “scuola dovrebbe sempre avere come suo fine che i giovani ne escano con personalità armoniose, non ridotti a specialisti. Questo, secondo me, è vero in certa misura anche per le scuole tecniche, i cui studenti si dedicheranno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ad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una ben determinata professione. Lo sviluppo dell’abitudine generale a pensare e giudicare indipendentemente, dovrebbe essere sempre al primo posto, e non l’acquisizione di conoscenze specializzate.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Se una persona è padrona dei principi fondamentali del proprio settore e ha imparato a pensare e a lavorare indipendentemente, troverà sicuramente la propria strada e inoltre sarà in grado di adattarsi al progresso e ai mutamenti più di una persona la cui istruzione consiste principalmente nell’acquisizione di una conoscenza particolareggiata” (Einstein A., 1966, citato in Antiseri D, 2000, pag. 10)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. Quanto affermato da Einstein ci spinge a considerare dannosi i percorsi che forzano gli studenti verso forti specializzazioni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in quanto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rischiano di pregiudicare una crescita armoniosa. Inoltre una competenza meno specialistica ma maggiormente distribuita su diversi ambiti, permetterebbe di maturare un atteggiamento più propositivo nei confronti di se stessi: si può scegliere con più libertà, evitando percorsi canalizzati esclusivamente verso i settori pesantemente praticati durante la formazione scolastica.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A vari livelli, una conoscenza e una competenza che si traducano nell’acquisizione di un sufficiente orientamento sul versante delle tecnologie informatiche possono essere create attraverso esperienze di costruzione programmi. Con queste attività è possibile venire a contatto con la struttura del dispositivo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lastRenderedPageBreak/>
        <w:t>hardware</w:t>
      </w:r>
      <w:proofErr w:type="gramEnd"/>
      <w:r w:rsidRPr="002E42D1">
        <w:rPr>
          <w:rStyle w:val="Rimandonotaapidipagina"/>
          <w:rFonts w:ascii="Garamond" w:hAnsi="Garamond"/>
          <w:sz w:val="24"/>
          <w:szCs w:val="24"/>
        </w:rPr>
        <w:footnoteReference w:id="3"/>
      </w:r>
      <w:r w:rsidRPr="002E42D1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e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acquisire una autonomia di lavoro, di scelta e anche di intervento sullo sviluppo sociale delle stesse tecnologie. 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L’orientamento verso una comprensione degli aspetti formativi legati alle realizzazioni di applicazioni informatiche non ha sempre incontrato dei sostenitori. 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/>
          <w:sz w:val="24"/>
          <w:szCs w:val="24"/>
        </w:rPr>
      </w:pPr>
      <w:r w:rsidRPr="002E42D1">
        <w:rPr>
          <w:rFonts w:ascii="Garamond" w:hAnsi="Garamond"/>
          <w:sz w:val="24"/>
          <w:szCs w:val="24"/>
        </w:rPr>
        <w:t xml:space="preserve">Ad esempio, </w:t>
      </w:r>
      <w:proofErr w:type="spellStart"/>
      <w:r w:rsidRPr="002E42D1">
        <w:rPr>
          <w:rFonts w:ascii="Garamond" w:hAnsi="Garamond"/>
          <w:sz w:val="24"/>
          <w:szCs w:val="24"/>
        </w:rPr>
        <w:t>Jonassen</w:t>
      </w:r>
      <w:proofErr w:type="spellEnd"/>
      <w:r w:rsidRPr="002E42D1">
        <w:rPr>
          <w:rFonts w:ascii="Garamond" w:hAnsi="Garamond"/>
          <w:sz w:val="24"/>
          <w:szCs w:val="24"/>
        </w:rPr>
        <w:t xml:space="preserve"> (</w:t>
      </w:r>
      <w:proofErr w:type="spellStart"/>
      <w:r w:rsidRPr="002E42D1">
        <w:rPr>
          <w:rFonts w:ascii="Garamond" w:hAnsi="Garamond"/>
          <w:sz w:val="24"/>
          <w:szCs w:val="24"/>
        </w:rPr>
        <w:t>Jonassen</w:t>
      </w:r>
      <w:proofErr w:type="spellEnd"/>
      <w:r w:rsidRPr="002E42D1">
        <w:rPr>
          <w:rFonts w:ascii="Garamond" w:hAnsi="Garamond"/>
          <w:sz w:val="24"/>
          <w:szCs w:val="24"/>
        </w:rPr>
        <w:t xml:space="preserve"> D., 2000, pag. 8) si chiede retoricamente: “</w:t>
      </w:r>
      <w:proofErr w:type="spellStart"/>
      <w:r w:rsidRPr="002E42D1">
        <w:rPr>
          <w:rFonts w:ascii="Garamond" w:hAnsi="Garamond"/>
          <w:sz w:val="24"/>
          <w:szCs w:val="24"/>
        </w:rPr>
        <w:t>Was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it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necessary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to</w:t>
      </w:r>
      <w:proofErr w:type="spellEnd"/>
      <w:r w:rsidRPr="002E42D1">
        <w:rPr>
          <w:rFonts w:ascii="Garamond" w:hAnsi="Garamond"/>
          <w:sz w:val="24"/>
          <w:szCs w:val="24"/>
        </w:rPr>
        <w:t xml:space="preserve"> complete a </w:t>
      </w:r>
      <w:proofErr w:type="spellStart"/>
      <w:r w:rsidRPr="002E42D1">
        <w:rPr>
          <w:rFonts w:ascii="Garamond" w:hAnsi="Garamond"/>
          <w:sz w:val="24"/>
          <w:szCs w:val="24"/>
        </w:rPr>
        <w:t>course</w:t>
      </w:r>
      <w:proofErr w:type="spellEnd"/>
      <w:r w:rsidRPr="002E42D1">
        <w:rPr>
          <w:rFonts w:ascii="Garamond" w:hAnsi="Garamond"/>
          <w:sz w:val="24"/>
          <w:szCs w:val="24"/>
        </w:rPr>
        <w:t xml:space="preserve"> on</w:t>
      </w:r>
      <w:proofErr w:type="gramStart"/>
      <w:r w:rsidRPr="002E42D1">
        <w:rPr>
          <w:rFonts w:ascii="Garamond" w:hAnsi="Garamond"/>
          <w:sz w:val="24"/>
          <w:szCs w:val="24"/>
        </w:rPr>
        <w:t xml:space="preserve"> ‘</w:t>
      </w:r>
      <w:proofErr w:type="spellStart"/>
      <w:proofErr w:type="gramEnd"/>
      <w:r w:rsidRPr="002E42D1">
        <w:rPr>
          <w:rFonts w:ascii="Garamond" w:hAnsi="Garamond"/>
          <w:sz w:val="24"/>
          <w:szCs w:val="24"/>
        </w:rPr>
        <w:t>washing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machine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literacy</w:t>
      </w:r>
      <w:proofErr w:type="spellEnd"/>
      <w:r w:rsidRPr="002E42D1">
        <w:rPr>
          <w:rFonts w:ascii="Garamond" w:hAnsi="Garamond"/>
          <w:sz w:val="24"/>
          <w:szCs w:val="24"/>
        </w:rPr>
        <w:t xml:space="preserve">’ in </w:t>
      </w:r>
      <w:proofErr w:type="spellStart"/>
      <w:r w:rsidRPr="002E42D1">
        <w:rPr>
          <w:rFonts w:ascii="Garamond" w:hAnsi="Garamond"/>
          <w:sz w:val="24"/>
          <w:szCs w:val="24"/>
        </w:rPr>
        <w:t>order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to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use</w:t>
      </w:r>
      <w:proofErr w:type="spellEnd"/>
      <w:r w:rsidRPr="002E42D1">
        <w:rPr>
          <w:rFonts w:ascii="Garamond" w:hAnsi="Garamond"/>
          <w:sz w:val="24"/>
          <w:szCs w:val="24"/>
        </w:rPr>
        <w:t xml:space="preserve"> the last </w:t>
      </w:r>
      <w:proofErr w:type="spellStart"/>
      <w:r w:rsidRPr="002E42D1">
        <w:rPr>
          <w:rFonts w:ascii="Garamond" w:hAnsi="Garamond"/>
          <w:sz w:val="24"/>
          <w:szCs w:val="24"/>
        </w:rPr>
        <w:t>new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washing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machine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that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you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encountered</w:t>
      </w:r>
      <w:proofErr w:type="spellEnd"/>
      <w:r w:rsidRPr="002E42D1">
        <w:rPr>
          <w:rFonts w:ascii="Garamond" w:hAnsi="Garamond"/>
          <w:sz w:val="24"/>
          <w:szCs w:val="24"/>
        </w:rPr>
        <w:t>?”; probabilmente non serve all’addetto all’uso della lavatrice seguire un corso di alfabetizzazione sulla struttura e sul funzionamento di una lavatrice, però se riformuliamo la domanda nel seguente modo “</w:t>
      </w:r>
      <w:proofErr w:type="spellStart"/>
      <w:r w:rsidRPr="002E42D1">
        <w:rPr>
          <w:rFonts w:ascii="Garamond" w:hAnsi="Garamond"/>
          <w:sz w:val="24"/>
          <w:szCs w:val="24"/>
        </w:rPr>
        <w:t>Was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it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necessary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to</w:t>
      </w:r>
      <w:proofErr w:type="spellEnd"/>
      <w:r w:rsidRPr="002E42D1">
        <w:rPr>
          <w:rFonts w:ascii="Garamond" w:hAnsi="Garamond"/>
          <w:sz w:val="24"/>
          <w:szCs w:val="24"/>
        </w:rPr>
        <w:t xml:space="preserve"> complete a </w:t>
      </w:r>
      <w:proofErr w:type="spellStart"/>
      <w:r w:rsidRPr="002E42D1">
        <w:rPr>
          <w:rFonts w:ascii="Garamond" w:hAnsi="Garamond"/>
          <w:sz w:val="24"/>
          <w:szCs w:val="24"/>
        </w:rPr>
        <w:t>course</w:t>
      </w:r>
      <w:proofErr w:type="spellEnd"/>
      <w:r w:rsidRPr="002E42D1">
        <w:rPr>
          <w:rFonts w:ascii="Garamond" w:hAnsi="Garamond"/>
          <w:sz w:val="24"/>
          <w:szCs w:val="24"/>
        </w:rPr>
        <w:t xml:space="preserve"> on ‘computer </w:t>
      </w:r>
      <w:proofErr w:type="spellStart"/>
      <w:r w:rsidRPr="002E42D1">
        <w:rPr>
          <w:rFonts w:ascii="Garamond" w:hAnsi="Garamond"/>
          <w:sz w:val="24"/>
          <w:szCs w:val="24"/>
        </w:rPr>
        <w:t>literacy</w:t>
      </w:r>
      <w:proofErr w:type="spellEnd"/>
      <w:r w:rsidRPr="002E42D1">
        <w:rPr>
          <w:rFonts w:ascii="Garamond" w:hAnsi="Garamond"/>
          <w:sz w:val="24"/>
          <w:szCs w:val="24"/>
        </w:rPr>
        <w:t xml:space="preserve">’ in </w:t>
      </w:r>
      <w:proofErr w:type="spellStart"/>
      <w:r w:rsidRPr="002E42D1">
        <w:rPr>
          <w:rFonts w:ascii="Garamond" w:hAnsi="Garamond"/>
          <w:sz w:val="24"/>
          <w:szCs w:val="24"/>
        </w:rPr>
        <w:t>order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to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use</w:t>
      </w:r>
      <w:proofErr w:type="spellEnd"/>
      <w:r w:rsidRPr="002E42D1">
        <w:rPr>
          <w:rFonts w:ascii="Garamond" w:hAnsi="Garamond"/>
          <w:sz w:val="24"/>
          <w:szCs w:val="24"/>
        </w:rPr>
        <w:t xml:space="preserve"> the last </w:t>
      </w:r>
      <w:proofErr w:type="spellStart"/>
      <w:r w:rsidRPr="002E42D1">
        <w:rPr>
          <w:rFonts w:ascii="Garamond" w:hAnsi="Garamond"/>
          <w:sz w:val="24"/>
          <w:szCs w:val="24"/>
        </w:rPr>
        <w:t>new</w:t>
      </w:r>
      <w:proofErr w:type="spellEnd"/>
      <w:r w:rsidRPr="002E42D1">
        <w:rPr>
          <w:rFonts w:ascii="Garamond" w:hAnsi="Garamond"/>
          <w:sz w:val="24"/>
          <w:szCs w:val="24"/>
        </w:rPr>
        <w:t xml:space="preserve"> computer </w:t>
      </w:r>
      <w:proofErr w:type="spellStart"/>
      <w:r w:rsidRPr="002E42D1">
        <w:rPr>
          <w:rFonts w:ascii="Garamond" w:hAnsi="Garamond"/>
          <w:sz w:val="24"/>
          <w:szCs w:val="24"/>
        </w:rPr>
        <w:t>that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you</w:t>
      </w:r>
      <w:proofErr w:type="spellEnd"/>
      <w:r w:rsidRPr="002E42D1">
        <w:rPr>
          <w:rFonts w:ascii="Garamond" w:hAnsi="Garamond"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encountered</w:t>
      </w:r>
      <w:proofErr w:type="spellEnd"/>
      <w:r w:rsidRPr="002E42D1">
        <w:rPr>
          <w:rFonts w:ascii="Garamond" w:hAnsi="Garamond"/>
          <w:sz w:val="24"/>
          <w:szCs w:val="24"/>
        </w:rPr>
        <w:t>?”, la domanda perde il suo valore retorico e potrebbe valere la pena di articolare una risposta. “</w:t>
      </w:r>
      <w:proofErr w:type="gramStart"/>
      <w:r w:rsidRPr="002E42D1">
        <w:rPr>
          <w:rFonts w:ascii="Garamond" w:hAnsi="Garamond"/>
          <w:sz w:val="24"/>
          <w:szCs w:val="24"/>
        </w:rPr>
        <w:t xml:space="preserve">Una </w:t>
      </w:r>
      <w:proofErr w:type="gramEnd"/>
      <w:r w:rsidRPr="002E42D1">
        <w:rPr>
          <w:rFonts w:ascii="Garamond" w:hAnsi="Garamond"/>
          <w:sz w:val="24"/>
          <w:szCs w:val="24"/>
        </w:rPr>
        <w:t xml:space="preserve">alfabetizzazione sulla struttura di un computer può essere veramente utile se con essa è possibile sviluppare delle attività che si ritengono utili ai fini del raggiungimento di obiettivi di apprendimento e che gli studenti possano percepire come rilevanti. </w:t>
      </w:r>
      <w:proofErr w:type="gramStart"/>
      <w:r w:rsidRPr="002E42D1">
        <w:rPr>
          <w:rFonts w:ascii="Garamond" w:hAnsi="Garamond"/>
          <w:sz w:val="24"/>
          <w:szCs w:val="24"/>
        </w:rPr>
        <w:t>[…</w:t>
      </w:r>
      <w:proofErr w:type="gramEnd"/>
      <w:r w:rsidRPr="002E42D1">
        <w:rPr>
          <w:rFonts w:ascii="Garamond" w:hAnsi="Garamond"/>
          <w:sz w:val="24"/>
          <w:szCs w:val="24"/>
        </w:rPr>
        <w:t xml:space="preserve">] È bene conoscere il funzionamento della tecnologia per un suo migliore utilizzo, ma anche per permettere acquisizioni di competenze significative nella formazione. </w:t>
      </w:r>
      <w:proofErr w:type="gramStart"/>
      <w:r w:rsidRPr="002E42D1">
        <w:rPr>
          <w:rFonts w:ascii="Garamond" w:hAnsi="Garamond"/>
          <w:sz w:val="24"/>
          <w:szCs w:val="24"/>
        </w:rPr>
        <w:t>Conoscere il funzionamento di un elaboratore permette, ad esempio, di capire cosa è e come nasce l’intelligenza artificiale classica, di cogliere il senso dei sistemi esperti, di comprendere come si sviluppa la nuova intelligenza artificiale, di apprendere il significato dei linguaggi e in particolare di quelli artificiali, di acquisire basi per una corretta progettazione di artefatti informatici” (Alessandri G., 2008, pag. 66).</w:t>
      </w:r>
      <w:proofErr w:type="gramEnd"/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/>
          <w:sz w:val="24"/>
          <w:szCs w:val="24"/>
        </w:rPr>
      </w:pPr>
      <w:proofErr w:type="gramStart"/>
      <w:r w:rsidRPr="002E42D1">
        <w:rPr>
          <w:rFonts w:ascii="Garamond" w:hAnsi="Garamond"/>
          <w:sz w:val="24"/>
          <w:szCs w:val="24"/>
          <w:lang w:val="en-US"/>
        </w:rPr>
        <w:t xml:space="preserve">Pierre </w:t>
      </w:r>
      <w:proofErr w:type="spellStart"/>
      <w:r w:rsidRPr="002E42D1">
        <w:rPr>
          <w:rFonts w:ascii="Garamond" w:hAnsi="Garamond"/>
          <w:sz w:val="24"/>
          <w:szCs w:val="24"/>
          <w:lang w:val="en-US"/>
        </w:rPr>
        <w:t>Bourdieu</w:t>
      </w:r>
      <w:proofErr w:type="spellEnd"/>
      <w:r w:rsidRPr="002E42D1">
        <w:rPr>
          <w:rFonts w:ascii="Garamond" w:hAnsi="Garamond"/>
          <w:sz w:val="24"/>
          <w:szCs w:val="24"/>
          <w:lang w:val="en-US"/>
        </w:rPr>
        <w:t xml:space="preserve"> in </w:t>
      </w:r>
      <w:r w:rsidRPr="002E42D1">
        <w:rPr>
          <w:rFonts w:ascii="Garamond" w:hAnsi="Garamond"/>
          <w:i/>
          <w:sz w:val="24"/>
          <w:szCs w:val="24"/>
          <w:lang w:val="en-US"/>
        </w:rPr>
        <w:t xml:space="preserve">Les </w:t>
      </w:r>
      <w:proofErr w:type="spellStart"/>
      <w:r w:rsidRPr="002E42D1">
        <w:rPr>
          <w:rFonts w:ascii="Garamond" w:hAnsi="Garamond"/>
          <w:i/>
          <w:sz w:val="24"/>
          <w:szCs w:val="24"/>
          <w:lang w:val="en-US"/>
        </w:rPr>
        <w:t>héritiers</w:t>
      </w:r>
      <w:proofErr w:type="spellEnd"/>
      <w:r w:rsidRPr="002E42D1">
        <w:rPr>
          <w:rFonts w:ascii="Garamond" w:hAnsi="Garamond"/>
          <w:sz w:val="24"/>
          <w:szCs w:val="24"/>
          <w:lang w:val="en-US"/>
        </w:rPr>
        <w:t>.</w:t>
      </w:r>
      <w:proofErr w:type="gramEnd"/>
      <w:r w:rsidRPr="002E42D1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2E42D1">
        <w:rPr>
          <w:rFonts w:ascii="Garamond" w:hAnsi="Garamond"/>
          <w:i/>
          <w:sz w:val="24"/>
          <w:szCs w:val="24"/>
        </w:rPr>
        <w:t>Les</w:t>
      </w:r>
      <w:proofErr w:type="spellEnd"/>
      <w:r w:rsidRPr="002E42D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i/>
          <w:sz w:val="24"/>
          <w:szCs w:val="24"/>
        </w:rPr>
        <w:t>étudiants</w:t>
      </w:r>
      <w:proofErr w:type="spellEnd"/>
      <w:r w:rsidRPr="002E42D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i/>
          <w:sz w:val="24"/>
          <w:szCs w:val="24"/>
        </w:rPr>
        <w:t>et</w:t>
      </w:r>
      <w:proofErr w:type="spellEnd"/>
      <w:r w:rsidRPr="002E42D1">
        <w:rPr>
          <w:rFonts w:ascii="Garamond" w:hAnsi="Garamond"/>
          <w:i/>
          <w:sz w:val="24"/>
          <w:szCs w:val="24"/>
        </w:rPr>
        <w:t xml:space="preserve"> </w:t>
      </w:r>
      <w:proofErr w:type="gramStart"/>
      <w:r w:rsidRPr="002E42D1">
        <w:rPr>
          <w:rFonts w:ascii="Garamond" w:hAnsi="Garamond"/>
          <w:i/>
          <w:sz w:val="24"/>
          <w:szCs w:val="24"/>
        </w:rPr>
        <w:t>la</w:t>
      </w:r>
      <w:proofErr w:type="gramEnd"/>
      <w:r w:rsidRPr="002E42D1">
        <w:rPr>
          <w:rFonts w:ascii="Garamond" w:hAnsi="Garamond"/>
          <w:i/>
          <w:sz w:val="24"/>
          <w:szCs w:val="24"/>
        </w:rPr>
        <w:t xml:space="preserve"> culture</w:t>
      </w:r>
      <w:r w:rsidRPr="002E42D1">
        <w:rPr>
          <w:rFonts w:ascii="Garamond" w:hAnsi="Garamond"/>
          <w:sz w:val="24"/>
          <w:szCs w:val="24"/>
        </w:rPr>
        <w:t xml:space="preserve"> (1964</w:t>
      </w:r>
      <w:r>
        <w:rPr>
          <w:rFonts w:ascii="Garamond" w:hAnsi="Garamond"/>
          <w:sz w:val="24"/>
          <w:szCs w:val="24"/>
        </w:rPr>
        <w:t>, pagg. 103-109</w:t>
      </w:r>
      <w:r w:rsidRPr="002E42D1">
        <w:rPr>
          <w:rFonts w:ascii="Garamond" w:hAnsi="Garamond"/>
          <w:sz w:val="24"/>
          <w:szCs w:val="24"/>
        </w:rPr>
        <w:t xml:space="preserve">), scritto insieme a </w:t>
      </w:r>
      <w:proofErr w:type="spellStart"/>
      <w:r w:rsidRPr="002E42D1">
        <w:rPr>
          <w:rFonts w:ascii="Garamond" w:hAnsi="Garamond"/>
          <w:bCs/>
          <w:sz w:val="24"/>
          <w:szCs w:val="24"/>
        </w:rPr>
        <w:t>Jean-Claude</w:t>
      </w:r>
      <w:proofErr w:type="spellEnd"/>
      <w:r w:rsidRPr="002E42D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2E42D1">
        <w:rPr>
          <w:rFonts w:ascii="Garamond" w:hAnsi="Garamond"/>
          <w:sz w:val="24"/>
          <w:szCs w:val="24"/>
        </w:rPr>
        <w:t>Passeron</w:t>
      </w:r>
      <w:proofErr w:type="spellEnd"/>
      <w:r w:rsidRPr="002E42D1">
        <w:rPr>
          <w:rFonts w:ascii="Garamond" w:hAnsi="Garamond"/>
          <w:sz w:val="24"/>
          <w:szCs w:val="24"/>
        </w:rPr>
        <w:t xml:space="preserve">, conduce una significativa critica alla riproposizione della disuguaglianza sociale da parte della scuola del suo tempo. Gli autori spiegavano che i giovani delle classi popolari erano, non solo, esclusi dagli studi superiori e universitari ma, fatto ancor più grave, nel frequentare la scuola ritrovavano una riproduzione della selezione che già pativano nella società. La scuola avallava i dislivelli sociali </w:t>
      </w:r>
      <w:proofErr w:type="gramStart"/>
      <w:r w:rsidRPr="002E42D1">
        <w:rPr>
          <w:rFonts w:ascii="Garamond" w:hAnsi="Garamond"/>
          <w:sz w:val="24"/>
          <w:szCs w:val="24"/>
        </w:rPr>
        <w:t>riproponendoli</w:t>
      </w:r>
      <w:proofErr w:type="gramEnd"/>
      <w:r w:rsidRPr="002E42D1">
        <w:rPr>
          <w:rFonts w:ascii="Garamond" w:hAnsi="Garamond"/>
          <w:sz w:val="24"/>
          <w:szCs w:val="24"/>
        </w:rPr>
        <w:t xml:space="preserve"> in forme di ineguaglianze scolastiche; così facendo ratificava e riproduceva la suddivisione classista esistente nel tessuto sociale. In altre parole la scuola, piuttosto che rappresentare strumento di liberazione e quindi di emancipazione, diveniva custode della conservazione della suddivisione </w:t>
      </w:r>
      <w:proofErr w:type="gramStart"/>
      <w:r w:rsidRPr="002E42D1">
        <w:rPr>
          <w:rFonts w:ascii="Garamond" w:hAnsi="Garamond"/>
          <w:sz w:val="24"/>
          <w:szCs w:val="24"/>
        </w:rPr>
        <w:t>della</w:t>
      </w:r>
      <w:proofErr w:type="gramEnd"/>
      <w:r w:rsidRPr="002E42D1">
        <w:rPr>
          <w:rFonts w:ascii="Garamond" w:hAnsi="Garamond"/>
          <w:sz w:val="24"/>
          <w:szCs w:val="24"/>
        </w:rPr>
        <w:t xml:space="preserve"> società in classi. 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/>
          <w:sz w:val="24"/>
          <w:szCs w:val="24"/>
        </w:rPr>
      </w:pPr>
      <w:r w:rsidRPr="002E42D1">
        <w:rPr>
          <w:rFonts w:ascii="Garamond" w:hAnsi="Garamond"/>
          <w:sz w:val="24"/>
          <w:szCs w:val="24"/>
        </w:rPr>
        <w:t xml:space="preserve">Prendendo ad esempio l’analisi di </w:t>
      </w:r>
      <w:proofErr w:type="spellStart"/>
      <w:r w:rsidRPr="002E42D1">
        <w:rPr>
          <w:rFonts w:ascii="Garamond" w:hAnsi="Garamond"/>
          <w:sz w:val="24"/>
          <w:szCs w:val="24"/>
        </w:rPr>
        <w:t>Bourdieu</w:t>
      </w:r>
      <w:proofErr w:type="spellEnd"/>
      <w:r w:rsidRPr="002E42D1">
        <w:rPr>
          <w:rFonts w:ascii="Garamond" w:hAnsi="Garamond"/>
          <w:sz w:val="24"/>
          <w:szCs w:val="24"/>
        </w:rPr>
        <w:t xml:space="preserve">, applicandola alla diffusione delle tecnologie, la scuola </w:t>
      </w:r>
      <w:proofErr w:type="gramStart"/>
      <w:r w:rsidRPr="002E42D1">
        <w:rPr>
          <w:rFonts w:ascii="Garamond" w:hAnsi="Garamond"/>
          <w:sz w:val="24"/>
          <w:szCs w:val="24"/>
        </w:rPr>
        <w:t>attualmente</w:t>
      </w:r>
      <w:proofErr w:type="gramEnd"/>
      <w:r w:rsidRPr="002E42D1">
        <w:rPr>
          <w:rFonts w:ascii="Garamond" w:hAnsi="Garamond"/>
          <w:sz w:val="24"/>
          <w:szCs w:val="24"/>
        </w:rPr>
        <w:t xml:space="preserve"> mantiene e anzi perpetua la suddivisione in classi delle competenze digitali. Invece di proporre un uso </w:t>
      </w:r>
      <w:proofErr w:type="gramStart"/>
      <w:r w:rsidRPr="002E42D1">
        <w:rPr>
          <w:rFonts w:ascii="Garamond" w:hAnsi="Garamond"/>
          <w:sz w:val="24"/>
          <w:szCs w:val="24"/>
        </w:rPr>
        <w:t>significativo</w:t>
      </w:r>
      <w:proofErr w:type="gramEnd"/>
      <w:r w:rsidRPr="002E42D1">
        <w:rPr>
          <w:rFonts w:ascii="Garamond" w:hAnsi="Garamond"/>
          <w:sz w:val="24"/>
          <w:szCs w:val="24"/>
        </w:rPr>
        <w:t xml:space="preserve"> delle tecnologie, spesso si interroga ancora se usarle oppure no e, comunque, troppo spesso nell’ottica di strumenti facilitatori nei vari ambiti disciplinari. 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/>
          <w:sz w:val="24"/>
          <w:szCs w:val="24"/>
        </w:rPr>
      </w:pPr>
      <w:r w:rsidRPr="002E42D1">
        <w:rPr>
          <w:rFonts w:ascii="Garamond" w:hAnsi="Garamond"/>
          <w:sz w:val="24"/>
          <w:szCs w:val="24"/>
        </w:rPr>
        <w:t xml:space="preserve">Nella sua analisi, </w:t>
      </w:r>
      <w:proofErr w:type="spellStart"/>
      <w:r w:rsidRPr="002E42D1">
        <w:rPr>
          <w:rFonts w:ascii="Garamond" w:hAnsi="Garamond"/>
          <w:sz w:val="24"/>
          <w:szCs w:val="24"/>
        </w:rPr>
        <w:t>Bourdieu</w:t>
      </w:r>
      <w:proofErr w:type="spellEnd"/>
      <w:r w:rsidRPr="002E42D1">
        <w:rPr>
          <w:rFonts w:ascii="Garamond" w:hAnsi="Garamond"/>
          <w:sz w:val="24"/>
          <w:szCs w:val="24"/>
        </w:rPr>
        <w:t xml:space="preserve"> propone un’azione bifronte: da un lato una </w:t>
      </w:r>
      <w:proofErr w:type="gramStart"/>
      <w:r w:rsidRPr="002E42D1">
        <w:rPr>
          <w:rFonts w:ascii="Garamond" w:hAnsi="Garamond"/>
          <w:sz w:val="24"/>
          <w:szCs w:val="24"/>
        </w:rPr>
        <w:t>spinta</w:t>
      </w:r>
      <w:proofErr w:type="gramEnd"/>
      <w:r w:rsidRPr="002E42D1">
        <w:rPr>
          <w:rFonts w:ascii="Garamond" w:hAnsi="Garamond"/>
          <w:sz w:val="24"/>
          <w:szCs w:val="24"/>
        </w:rPr>
        <w:t xml:space="preserve"> riformatrice che proviene dal mondo della scuola attraverso una didattica rinnovata e sotto l’impulso dei docenti e, dall’altro, attraverso delle illuminate prese di posizione della classe politica deputata a percepire le esigenze emergenti dalla società. </w:t>
      </w:r>
    </w:p>
    <w:p w:rsidR="002C5F89" w:rsidRPr="002E42D1" w:rsidRDefault="002C5F89" w:rsidP="002C5F89">
      <w:pPr>
        <w:spacing w:before="0" w:beforeAutospacing="0" w:after="0"/>
        <w:ind w:firstLine="284"/>
        <w:jc w:val="both"/>
        <w:rPr>
          <w:rFonts w:ascii="Garamond" w:hAnsi="Garamond"/>
          <w:sz w:val="24"/>
          <w:szCs w:val="24"/>
        </w:rPr>
      </w:pPr>
      <w:r w:rsidRPr="002E42D1">
        <w:rPr>
          <w:rFonts w:ascii="Garamond" w:hAnsi="Garamond"/>
          <w:sz w:val="24"/>
          <w:szCs w:val="24"/>
        </w:rPr>
        <w:t xml:space="preserve">Nell’orizzonte attuale, invece, così come nel mondo della scuola e nei vertici politico-istituzionali, allignano, prosperano e si diffondono iniziative volte a prefigurare un uso massiccio delle cosiddette ‘nuove tecnologie’: lavagne interattive multimediali, </w:t>
      </w:r>
      <w:proofErr w:type="spellStart"/>
      <w:r w:rsidRPr="002E42D1">
        <w:rPr>
          <w:rFonts w:ascii="Garamond" w:hAnsi="Garamond"/>
          <w:sz w:val="24"/>
          <w:szCs w:val="24"/>
        </w:rPr>
        <w:t>tablet</w:t>
      </w:r>
      <w:proofErr w:type="spellEnd"/>
      <w:r w:rsidRPr="002E42D1">
        <w:rPr>
          <w:rFonts w:ascii="Garamond" w:hAnsi="Garamond"/>
          <w:sz w:val="24"/>
          <w:szCs w:val="24"/>
        </w:rPr>
        <w:t xml:space="preserve">, </w:t>
      </w:r>
      <w:proofErr w:type="gramStart"/>
      <w:r w:rsidRPr="002E42D1">
        <w:rPr>
          <w:rFonts w:ascii="Garamond" w:hAnsi="Garamond"/>
          <w:sz w:val="24"/>
          <w:szCs w:val="24"/>
        </w:rPr>
        <w:t>e-book</w:t>
      </w:r>
      <w:proofErr w:type="gramEnd"/>
      <w:r w:rsidRPr="002E42D1">
        <w:rPr>
          <w:rFonts w:ascii="Garamond" w:hAnsi="Garamond"/>
          <w:sz w:val="24"/>
          <w:szCs w:val="24"/>
        </w:rPr>
        <w:t xml:space="preserve">, libri misti; nel complesso ci si allontana sempre più da una pratica, se mai è esistita, e si preferisce un semplice uso delle tecnologie, assottigliandone costantemente il vero significato; sempre più esse diventano piatte e trasparenti e sempre più assume dimensioni rilevanti il nuovo </w:t>
      </w:r>
      <w:proofErr w:type="spellStart"/>
      <w:r w:rsidRPr="002E6953">
        <w:rPr>
          <w:rFonts w:ascii="Garamond" w:hAnsi="Garamond"/>
          <w:sz w:val="24"/>
          <w:szCs w:val="24"/>
        </w:rPr>
        <w:t>digital</w:t>
      </w:r>
      <w:proofErr w:type="spellEnd"/>
      <w:r w:rsidRPr="002E6953">
        <w:rPr>
          <w:rFonts w:ascii="Garamond" w:hAnsi="Garamond"/>
          <w:sz w:val="24"/>
          <w:szCs w:val="24"/>
        </w:rPr>
        <w:t xml:space="preserve"> divide</w:t>
      </w:r>
      <w:r w:rsidRPr="002E42D1">
        <w:rPr>
          <w:rFonts w:ascii="Garamond" w:hAnsi="Garamond"/>
          <w:sz w:val="24"/>
          <w:szCs w:val="24"/>
        </w:rPr>
        <w:t>.</w:t>
      </w:r>
    </w:p>
    <w:p w:rsidR="00F05267" w:rsidRPr="00A629E9" w:rsidRDefault="00A629E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629E9">
        <w:rPr>
          <w:rFonts w:ascii="Times New Roman" w:hAnsi="Times New Roman" w:cs="Times New Roman"/>
          <w:sz w:val="20"/>
          <w:szCs w:val="20"/>
        </w:rPr>
        <w:t>[da</w:t>
      </w:r>
      <w:proofErr w:type="gramEnd"/>
      <w:r w:rsidRPr="00A629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29E9">
        <w:rPr>
          <w:rFonts w:ascii="Times New Roman" w:hAnsi="Times New Roman" w:cs="Times New Roman"/>
          <w:sz w:val="20"/>
          <w:szCs w:val="20"/>
        </w:rPr>
        <w:t>Alessandri.G</w:t>
      </w:r>
      <w:proofErr w:type="spellEnd"/>
      <w:r w:rsidRPr="00A629E9">
        <w:rPr>
          <w:rFonts w:ascii="Times New Roman" w:hAnsi="Times New Roman" w:cs="Times New Roman"/>
          <w:sz w:val="20"/>
          <w:szCs w:val="20"/>
        </w:rPr>
        <w:t xml:space="preserve">, 2013, </w:t>
      </w:r>
      <w:r w:rsidRPr="00A629E9">
        <w:rPr>
          <w:rFonts w:ascii="Times New Roman" w:hAnsi="Times New Roman" w:cs="Times New Roman"/>
          <w:i/>
          <w:sz w:val="20"/>
          <w:szCs w:val="20"/>
        </w:rPr>
        <w:t>Tecnologie autonome nella didattica. Verso la robotica educativa</w:t>
      </w:r>
      <w:r w:rsidRPr="00A629E9">
        <w:rPr>
          <w:rFonts w:ascii="Times New Roman" w:hAnsi="Times New Roman" w:cs="Times New Roman"/>
          <w:sz w:val="20"/>
          <w:szCs w:val="20"/>
        </w:rPr>
        <w:t>, Morlacchi, Perugia</w:t>
      </w:r>
      <w:proofErr w:type="gramStart"/>
      <w:r w:rsidRPr="00A629E9">
        <w:rPr>
          <w:rFonts w:ascii="Times New Roman" w:hAnsi="Times New Roman" w:cs="Times New Roman"/>
          <w:sz w:val="20"/>
          <w:szCs w:val="20"/>
        </w:rPr>
        <w:t>]</w:t>
      </w:r>
      <w:proofErr w:type="gramEnd"/>
    </w:p>
    <w:sectPr w:rsidR="00F05267" w:rsidRPr="00A629E9" w:rsidSect="00F05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95" w:rsidRDefault="00F65895" w:rsidP="002C5F89">
      <w:pPr>
        <w:spacing w:before="0" w:after="0"/>
      </w:pPr>
      <w:r>
        <w:separator/>
      </w:r>
    </w:p>
  </w:endnote>
  <w:endnote w:type="continuationSeparator" w:id="0">
    <w:p w:rsidR="00F65895" w:rsidRDefault="00F65895" w:rsidP="002C5F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95" w:rsidRDefault="00F65895" w:rsidP="002C5F89">
      <w:pPr>
        <w:spacing w:before="0" w:after="0"/>
      </w:pPr>
      <w:r>
        <w:separator/>
      </w:r>
    </w:p>
  </w:footnote>
  <w:footnote w:type="continuationSeparator" w:id="0">
    <w:p w:rsidR="00F65895" w:rsidRDefault="00F65895" w:rsidP="002C5F89">
      <w:pPr>
        <w:spacing w:before="0" w:after="0"/>
      </w:pPr>
      <w:r>
        <w:continuationSeparator/>
      </w:r>
    </w:p>
  </w:footnote>
  <w:footnote w:id="1">
    <w:p w:rsidR="002C5F89" w:rsidRPr="00BD04E8" w:rsidRDefault="002C5F89" w:rsidP="002C5F89">
      <w:pPr>
        <w:spacing w:before="0" w:beforeAutospacing="0" w:after="0"/>
        <w:rPr>
          <w:rFonts w:ascii="Garamond" w:hAnsi="Garamond"/>
        </w:rPr>
      </w:pPr>
      <w:r w:rsidRPr="00BD04E8">
        <w:rPr>
          <w:rStyle w:val="Rimandonotaapidipagina"/>
          <w:rFonts w:ascii="Garamond" w:hAnsi="Garamond"/>
        </w:rPr>
        <w:footnoteRef/>
      </w:r>
      <w:r w:rsidRPr="00BD04E8">
        <w:rPr>
          <w:rFonts w:ascii="Garamond" w:hAnsi="Garamond"/>
        </w:rPr>
        <w:t xml:space="preserve"> Analoga realtà per le tecnologie riferibili ad altri domini.</w:t>
      </w:r>
    </w:p>
  </w:footnote>
  <w:footnote w:id="2">
    <w:p w:rsidR="002C5F89" w:rsidRPr="00396222" w:rsidRDefault="002C5F89" w:rsidP="002C5F89">
      <w:pPr>
        <w:spacing w:before="0" w:beforeAutospacing="0" w:after="0"/>
        <w:jc w:val="both"/>
        <w:rPr>
          <w:rFonts w:ascii="Garamond" w:hAnsi="Garamond"/>
        </w:rPr>
      </w:pPr>
      <w:r w:rsidRPr="00BD04E8">
        <w:rPr>
          <w:rStyle w:val="Rimandonotaapidipagina"/>
          <w:rFonts w:ascii="Garamond" w:hAnsi="Garamond"/>
        </w:rPr>
        <w:footnoteRef/>
      </w:r>
      <w:r w:rsidRPr="00BD04E8">
        <w:rPr>
          <w:rFonts w:ascii="Garamond" w:hAnsi="Garamond"/>
        </w:rPr>
        <w:t xml:space="preserve"> Si </w:t>
      </w:r>
      <w:proofErr w:type="gramStart"/>
      <w:r w:rsidRPr="00BD04E8">
        <w:rPr>
          <w:rFonts w:ascii="Garamond" w:hAnsi="Garamond"/>
        </w:rPr>
        <w:t>ribadisce</w:t>
      </w:r>
      <w:proofErr w:type="gramEnd"/>
      <w:r w:rsidRPr="00BD04E8">
        <w:rPr>
          <w:rFonts w:ascii="Garamond" w:hAnsi="Garamond"/>
        </w:rPr>
        <w:t xml:space="preserve"> che non si vuole proporre una ‘ingegnerizzazione informatica’ in modo capillare, anche se con carichi diversi fra i vari ordini di scuole, ma si auspica unicamente un approccio alla costruzione con le tecnologie, piuttosto che al semplice uso.</w:t>
      </w:r>
    </w:p>
  </w:footnote>
  <w:footnote w:id="3">
    <w:p w:rsidR="002C5F89" w:rsidRPr="00372565" w:rsidRDefault="002C5F89" w:rsidP="002C5F89">
      <w:pPr>
        <w:pStyle w:val="Testonotaapidipagina"/>
        <w:spacing w:beforeAutospacing="0"/>
        <w:jc w:val="both"/>
        <w:rPr>
          <w:rFonts w:ascii="Garamond" w:hAnsi="Garamond"/>
          <w:sz w:val="22"/>
          <w:szCs w:val="22"/>
        </w:rPr>
      </w:pPr>
      <w:r w:rsidRPr="00372565">
        <w:rPr>
          <w:rStyle w:val="Rimandonotaapidipagina"/>
          <w:rFonts w:ascii="Garamond" w:hAnsi="Garamond"/>
          <w:sz w:val="22"/>
          <w:szCs w:val="22"/>
        </w:rPr>
        <w:footnoteRef/>
      </w:r>
      <w:r w:rsidRPr="00372565">
        <w:rPr>
          <w:rFonts w:ascii="Garamond" w:hAnsi="Garamond"/>
          <w:sz w:val="22"/>
          <w:szCs w:val="22"/>
        </w:rPr>
        <w:t xml:space="preserve"> Anche se solo a livello funzionale.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F89"/>
    <w:rsid w:val="000A69D8"/>
    <w:rsid w:val="002C5F89"/>
    <w:rsid w:val="00600B9A"/>
    <w:rsid w:val="008F4D2E"/>
    <w:rsid w:val="00A21C40"/>
    <w:rsid w:val="00A629E9"/>
    <w:rsid w:val="00CD6AAF"/>
    <w:rsid w:val="00F05267"/>
    <w:rsid w:val="00F6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F89"/>
    <w:pPr>
      <w:spacing w:before="100" w:beforeAutospacing="1" w:line="240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nhideWhenUsed/>
    <w:rsid w:val="002C5F89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5F89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5F89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2014-01-07T11:19:00Z</dcterms:created>
  <dcterms:modified xsi:type="dcterms:W3CDTF">2014-01-07T11:24:00Z</dcterms:modified>
</cp:coreProperties>
</file>